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/>
          <w:b/>
          <w:bCs w:val="0"/>
          <w:color w:val="FF0000"/>
          <w:spacing w:val="60"/>
          <w:sz w:val="56"/>
          <w:szCs w:val="56"/>
          <w:lang w:eastAsia="zh-CN"/>
        </w:rPr>
      </w:pPr>
      <w:r>
        <w:rPr>
          <w:rFonts w:hint="eastAsia" w:ascii="宋体" w:hAnsi="宋体"/>
          <w:b/>
          <w:bCs w:val="0"/>
          <w:color w:val="FF0000"/>
          <w:spacing w:val="60"/>
          <w:sz w:val="56"/>
          <w:szCs w:val="56"/>
        </w:rPr>
        <w:t>潍坊学院</w:t>
      </w:r>
      <w:r>
        <w:rPr>
          <w:rFonts w:hint="eastAsia" w:ascii="宋体" w:hAnsi="宋体"/>
          <w:b/>
          <w:bCs w:val="0"/>
          <w:color w:val="FF0000"/>
          <w:spacing w:val="60"/>
          <w:sz w:val="56"/>
          <w:szCs w:val="56"/>
          <w:lang w:val="en-US" w:eastAsia="zh-Hans"/>
        </w:rPr>
        <w:t>学生工作</w:t>
      </w:r>
      <w:r>
        <w:rPr>
          <w:rFonts w:hint="eastAsia" w:ascii="宋体" w:hAnsi="宋体"/>
          <w:b/>
          <w:bCs w:val="0"/>
          <w:color w:val="FF0000"/>
          <w:spacing w:val="60"/>
          <w:sz w:val="56"/>
          <w:szCs w:val="56"/>
          <w:lang w:eastAsia="zh-CN"/>
        </w:rPr>
        <w:t>处</w:t>
      </w:r>
    </w:p>
    <w:p>
      <w:pPr>
        <w:pBdr>
          <w:bottom w:val="thinThickSmallGap" w:color="FF0000" w:sz="18" w:space="1"/>
        </w:pBdr>
        <w:spacing w:line="0" w:lineRule="atLeast"/>
        <w:jc w:val="center"/>
        <w:rPr>
          <w:rFonts w:hint="eastAsia" w:ascii="宋体" w:hAnsi="宋体" w:eastAsia="宋体"/>
          <w:b/>
          <w:bCs w:val="0"/>
          <w:color w:val="FF0000"/>
          <w:spacing w:val="60"/>
          <w:sz w:val="56"/>
          <w:szCs w:val="56"/>
          <w:lang w:val="en-US" w:eastAsia="zh-CN"/>
        </w:rPr>
      </w:pPr>
      <w:r>
        <w:rPr>
          <w:rFonts w:hint="default" w:ascii="宋体" w:hAnsi="宋体"/>
          <w:b/>
          <w:bCs w:val="0"/>
          <w:color w:val="FF0000"/>
          <w:spacing w:val="60"/>
          <w:sz w:val="56"/>
          <w:szCs w:val="56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pacing w:val="60"/>
          <w:sz w:val="56"/>
          <w:szCs w:val="56"/>
          <w:lang w:eastAsia="zh-CN"/>
        </w:rPr>
        <w:t>学生工作部、</w:t>
      </w:r>
      <w:r>
        <w:rPr>
          <w:rFonts w:hint="eastAsia" w:ascii="宋体" w:hAnsi="宋体"/>
          <w:b/>
          <w:bCs w:val="0"/>
          <w:color w:val="FF0000"/>
          <w:spacing w:val="60"/>
          <w:sz w:val="56"/>
          <w:szCs w:val="56"/>
          <w:lang w:val="en-US" w:eastAsia="zh-Hans"/>
        </w:rPr>
        <w:t>武装部</w:t>
      </w:r>
      <w:r>
        <w:rPr>
          <w:rFonts w:hint="default" w:ascii="宋体" w:hAnsi="宋体"/>
          <w:b/>
          <w:bCs w:val="0"/>
          <w:color w:val="FF0000"/>
          <w:spacing w:val="60"/>
          <w:sz w:val="56"/>
          <w:szCs w:val="56"/>
          <w:lang w:eastAsia="zh-CN"/>
        </w:rPr>
        <w:t>）</w:t>
      </w:r>
    </w:p>
    <w:p>
      <w:pPr>
        <w:spacing w:line="20" w:lineRule="exact"/>
        <w:jc w:val="center"/>
        <w:rPr>
          <w:rFonts w:ascii="仿宋_GB2312" w:hAnsi="宋体" w:eastAsia="仿宋_GB2312"/>
          <w:sz w:val="32"/>
          <w:szCs w:val="32"/>
          <w:shd w:val="clear" w:color="auto" w:fill="FF0000"/>
        </w:rPr>
      </w:pPr>
    </w:p>
    <w:p>
      <w:pPr>
        <w:spacing w:before="100" w:beforeAutospacing="1" w:line="560" w:lineRule="exact"/>
        <w:ind w:right="159"/>
        <w:jc w:val="right"/>
        <w:rPr>
          <w:rFonts w:hint="eastAsia" w:ascii="仿宋_GB2312" w:eastAsia="仿宋_GB2312"/>
          <w:b/>
          <w:bCs/>
          <w:color w:val="000000"/>
          <w:sz w:val="36"/>
          <w:szCs w:val="36"/>
        </w:rPr>
      </w:pPr>
      <w:r>
        <w:rPr>
          <w:rFonts w:hint="default" w:ascii="仿宋_GB2312" w:eastAsia="仿宋_GB2312"/>
          <w:b/>
          <w:bCs/>
          <w:color w:val="000000"/>
          <w:sz w:val="36"/>
          <w:szCs w:val="36"/>
        </w:rPr>
        <w:t>学生处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〔202</w:t>
      </w:r>
      <w:r>
        <w:rPr>
          <w:rFonts w:hint="default" w:ascii="仿宋_GB2312" w:eastAsia="仿宋_GB2312"/>
          <w:b/>
          <w:bCs/>
          <w:color w:val="000000"/>
          <w:sz w:val="36"/>
          <w:szCs w:val="36"/>
        </w:rPr>
        <w:t>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39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号</w:t>
      </w:r>
    </w:p>
    <w:p>
      <w:pPr>
        <w:spacing w:before="100" w:beforeAutospacing="1" w:line="560" w:lineRule="exact"/>
        <w:ind w:right="159"/>
        <w:jc w:val="right"/>
        <w:rPr>
          <w:rFonts w:hint="eastAsia" w:ascii="仿宋_GB2312" w:eastAsia="仿宋_GB2312"/>
          <w:b/>
          <w:bCs/>
          <w:color w:val="000000"/>
          <w:sz w:val="36"/>
          <w:szCs w:val="36"/>
        </w:rPr>
      </w:pPr>
    </w:p>
    <w:p>
      <w:pPr>
        <w:widowControl/>
        <w:spacing w:line="480" w:lineRule="auto"/>
        <w:jc w:val="center"/>
        <w:rPr>
          <w:rFonts w:hint="eastAsia" w:ascii="仿宋_GB2312" w:hAnsi="Tahoma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Tahoma" w:eastAsia="仿宋_GB2312" w:cs="仿宋_GB2312"/>
          <w:b/>
          <w:bCs/>
          <w:color w:val="000000"/>
          <w:kern w:val="0"/>
          <w:sz w:val="36"/>
          <w:szCs w:val="36"/>
        </w:rPr>
        <w:t>关于表彰“胶东经济圈</w:t>
      </w:r>
      <w:r>
        <w:rPr>
          <w:rFonts w:hint="eastAsia" w:ascii="仿宋_GB2312" w:hAnsi="Tahoma" w:eastAsia="仿宋_GB2312" w:cs="仿宋_GB2312"/>
          <w:b/>
          <w:bCs/>
          <w:color w:val="000000"/>
          <w:kern w:val="0"/>
          <w:sz w:val="36"/>
          <w:szCs w:val="36"/>
          <w:lang w:val="en-US" w:eastAsia="zh-Hans"/>
        </w:rPr>
        <w:t>第二届</w:t>
      </w:r>
      <w:r>
        <w:rPr>
          <w:rFonts w:hint="eastAsia" w:ascii="仿宋_GB2312" w:hAnsi="Tahoma" w:eastAsia="仿宋_GB2312" w:cs="仿宋_GB2312"/>
          <w:b/>
          <w:bCs/>
          <w:color w:val="000000"/>
          <w:kern w:val="0"/>
          <w:sz w:val="36"/>
          <w:szCs w:val="36"/>
        </w:rPr>
        <w:t>大学生职业生涯规划大赛</w:t>
      </w:r>
      <w:r>
        <w:rPr>
          <w:rFonts w:hint="default" w:ascii="仿宋_GB2312" w:hAnsi="Tahoma" w:eastAsia="仿宋_GB2312" w:cs="仿宋_GB2312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hint="eastAsia" w:ascii="仿宋_GB2312" w:hAnsi="Tahoma" w:eastAsia="仿宋_GB2312" w:cs="仿宋_GB2312"/>
          <w:b/>
          <w:bCs/>
          <w:color w:val="000000"/>
          <w:kern w:val="0"/>
          <w:sz w:val="36"/>
          <w:szCs w:val="36"/>
        </w:rPr>
        <w:t>初赛暨潍坊学院大学生职业生涯规划大赛”</w:t>
      </w:r>
    </w:p>
    <w:p>
      <w:pPr>
        <w:widowControl/>
        <w:spacing w:line="480" w:lineRule="auto"/>
        <w:jc w:val="center"/>
        <w:rPr>
          <w:rFonts w:ascii="仿宋_GB2312" w:hAnsi="Tahoma" w:eastAsia="仿宋_GB2312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Tahoma" w:eastAsia="仿宋_GB2312" w:cs="仿宋_GB2312"/>
          <w:b/>
          <w:bCs/>
          <w:color w:val="000000"/>
          <w:kern w:val="0"/>
          <w:sz w:val="36"/>
          <w:szCs w:val="36"/>
        </w:rPr>
        <w:t>优秀组织单位和获奖个人的决定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8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根据山东省人力资源和社会保障厅《关于印发&lt;胶东经济圈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Hans"/>
        </w:rPr>
        <w:t>第二届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大学生职业生涯规划大赛实施方案&gt;的通知》要求，学校组织举办了“胶东经济圈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Hans"/>
        </w:rPr>
        <w:t>第二届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大学生职业生涯规划大赛初赛暨潍坊学院大学生职业生涯规划大赛”，比赛取得圆满成功。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8"/>
        <w:jc w:val="left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大赛期间，各学院学生积极参与，相关老师悉心指导，切实提高了大学生的职业生涯规划能力。大赛经过各二级学院初赛推荐、校级专家评审等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环节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，最终评选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件获奖作品。经学校研究，决定对大赛中表现突出的优秀组织单位、优秀指导教师及获奖学生进行通报表彰。具体获奖名单见附件。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8"/>
        <w:jc w:val="left"/>
        <w:textAlignment w:val="auto"/>
        <w:rPr>
          <w:rFonts w:ascii="仿宋" w:hAnsi="仿宋" w:eastAsia="仿宋" w:cs="Times New Roman"/>
          <w:color w:val="000000"/>
          <w:kern w:val="0"/>
          <w:sz w:val="33"/>
          <w:szCs w:val="33"/>
        </w:rPr>
      </w:pP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希望各二级学院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以本次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大赛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为契机，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加强对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职业生涯规划和就业指导师资队伍的培养，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面向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在校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大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学生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广泛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开展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专业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认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知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、职业生涯规划、求职择业技巧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等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教育，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帮助大学生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了解职场需求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、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学习求职技能，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树立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正确的成才观和就业观，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进一步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增强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自身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发展的目的性与计划性，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主动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提升应对竞争的能力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，早日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成为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合格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的</w:t>
      </w: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社会主义事业</w:t>
      </w:r>
      <w:r>
        <w:rPr>
          <w:rFonts w:ascii="仿宋" w:hAnsi="仿宋" w:eastAsia="仿宋" w:cs="Times New Roman"/>
          <w:color w:val="000000"/>
          <w:kern w:val="0"/>
          <w:sz w:val="33"/>
          <w:szCs w:val="33"/>
        </w:rPr>
        <w:t>建设者和接班人。</w:t>
      </w:r>
    </w:p>
    <w:p>
      <w:pPr>
        <w:widowControl/>
        <w:spacing w:line="520" w:lineRule="exact"/>
        <w:ind w:firstLine="658"/>
        <w:jc w:val="left"/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8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3"/>
          <w:szCs w:val="33"/>
        </w:rPr>
        <w:t>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件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潍坊学院大学生职业生涯规划大赛获奖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8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学生工作处（学生工作部、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Hans"/>
        </w:rPr>
        <w:t>武装部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8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022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日</w:t>
      </w:r>
    </w:p>
    <w:p>
      <w:pP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br w:type="page"/>
      </w:r>
    </w:p>
    <w:p>
      <w:pPr>
        <w:widowControl/>
        <w:spacing w:line="561" w:lineRule="atLeast"/>
        <w:jc w:val="left"/>
        <w:rPr>
          <w:rFonts w:ascii="仿宋_GB2312" w:hAnsi="仿宋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pacing w:line="480" w:lineRule="auto"/>
        <w:jc w:val="center"/>
        <w:rPr>
          <w:rFonts w:ascii="仿宋_GB2312" w:hAnsi="Tahoma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Tahoma" w:eastAsia="仿宋_GB2312" w:cs="仿宋_GB2312"/>
          <w:b/>
          <w:bCs/>
          <w:color w:val="000000"/>
          <w:kern w:val="0"/>
          <w:sz w:val="36"/>
          <w:szCs w:val="36"/>
        </w:rPr>
        <w:t>潍坊学院大学生职业生涯规划大赛获奖</w:t>
      </w:r>
      <w:r>
        <w:rPr>
          <w:rFonts w:ascii="仿宋_GB2312" w:hAnsi="Tahoma" w:eastAsia="仿宋_GB2312" w:cs="仿宋_GB2312"/>
          <w:b/>
          <w:bCs/>
          <w:color w:val="000000"/>
          <w:kern w:val="0"/>
          <w:sz w:val="36"/>
          <w:szCs w:val="36"/>
        </w:rPr>
        <w:t>名单</w:t>
      </w:r>
    </w:p>
    <w:p>
      <w:pPr>
        <w:widowControl/>
        <w:spacing w:line="561" w:lineRule="atLeast"/>
        <w:ind w:firstLine="640"/>
        <w:jc w:val="left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一、获奖学生名单：</w:t>
      </w:r>
    </w:p>
    <w:tbl>
      <w:tblPr>
        <w:tblStyle w:val="3"/>
        <w:tblW w:w="9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1380"/>
        <w:gridCol w:w="4570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甘宁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刘峰、周颖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门佳琪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机械与自动化学院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尚志杰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许敏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教师教育学院（特教幼教师范学院）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王思逸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文史学院（文化与旅游学院）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王子嵩、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张宇涵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李欣冉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靳硕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齐晓丽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文史学院（文化与旅游学院）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张世彪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机械与自动化学院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范淑月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张玉婷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曹贝佳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文史学院（文化与旅游学院）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毕凯雁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郭海龙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周璐璐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机械与自动化学院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Hans" w:bidi="ar"/>
              </w:rPr>
              <w:t>优秀奖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Hans" w:bidi="ar"/>
              </w:rPr>
              <w:t>李优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文史学院（文化与旅游学院）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Hans" w:bidi="ar"/>
              </w:rPr>
              <w:t>优秀奖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王若冰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数学与信息科学学院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尉爽华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Hans" w:bidi="ar"/>
              </w:rPr>
              <w:t>优秀奖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徐梦雪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数学与信息科学学院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尉爽华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Hans" w:bidi="ar"/>
              </w:rPr>
              <w:t>优秀奖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雷雅雯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建筑工程学院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王子嵩</w:t>
            </w:r>
          </w:p>
        </w:tc>
      </w:tr>
    </w:tbl>
    <w:tbl>
      <w:tblPr>
        <w:tblStyle w:val="4"/>
        <w:tblpPr w:leftFromText="180" w:rightFromText="180" w:vertAnchor="text" w:tblpX="10591" w:tblpY="-1176"/>
        <w:tblOverlap w:val="never"/>
        <w:tblW w:w="1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67" w:type="dxa"/>
          </w:tcPr>
          <w:p>
            <w:pPr>
              <w:widowControl/>
              <w:spacing w:line="561" w:lineRule="atLeast"/>
              <w:jc w:val="left"/>
              <w:rPr>
                <w:rFonts w:hint="eastAsia" w:ascii="仿宋_GB2312" w:hAnsi="Tahoma" w:eastAsia="仿宋_GB2312" w:cs="仿宋_GB2312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line="561" w:lineRule="atLeast"/>
        <w:ind w:firstLine="560" w:firstLineChars="200"/>
        <w:jc w:val="left"/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说明</w:t>
      </w:r>
      <w:r>
        <w:rPr>
          <w:rFonts w:ascii="仿宋_GB2312" w:hAnsi="Tahoma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一等奖奖金每人1000元、二等奖奖金每人600元、三等奖奖金每人300元；颁发荣誉证书。获得一、二等奖的同学将获得参加胶东经济圈</w:t>
      </w:r>
      <w:r>
        <w:rPr>
          <w:rFonts w:hint="default" w:ascii="仿宋_GB2312" w:hAnsi="Tahoma" w:eastAsia="仿宋_GB2312" w:cs="仿宋_GB2312"/>
          <w:color w:val="000000"/>
          <w:kern w:val="0"/>
          <w:sz w:val="28"/>
          <w:szCs w:val="28"/>
        </w:rPr>
        <w:t>第二届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大学生职业生涯规划大赛的复赛资格。</w:t>
      </w:r>
    </w:p>
    <w:p>
      <w:pPr>
        <w:widowControl/>
        <w:numPr>
          <w:ilvl w:val="0"/>
          <w:numId w:val="1"/>
        </w:numPr>
        <w:spacing w:line="561" w:lineRule="atLeast"/>
        <w:ind w:firstLine="643" w:firstLineChars="200"/>
        <w:jc w:val="left"/>
        <w:rPr>
          <w:rFonts w:hint="default" w:ascii="仿宋_GB2312" w:hAnsi="Tahoma" w:eastAsia="仿宋_GB2312" w:cs="仿宋_GB2312"/>
          <w:b/>
          <w:bCs/>
          <w:color w:val="000000"/>
          <w:kern w:val="0"/>
          <w:sz w:val="32"/>
          <w:szCs w:val="32"/>
          <w:lang w:eastAsia="zh-Hans"/>
        </w:rPr>
      </w:pPr>
      <w:r>
        <w:rPr>
          <w:rFonts w:hint="eastAsia" w:ascii="仿宋_GB2312" w:hAnsi="Tahoma" w:eastAsia="仿宋_GB2312" w:cs="仿宋_GB2312"/>
          <w:b/>
          <w:bCs/>
          <w:color w:val="000000"/>
          <w:kern w:val="0"/>
          <w:sz w:val="32"/>
          <w:szCs w:val="32"/>
          <w:lang w:val="en-US" w:eastAsia="zh-Hans"/>
        </w:rPr>
        <w:t>最佳助演团队奖</w:t>
      </w:r>
      <w:r>
        <w:rPr>
          <w:rFonts w:hint="default" w:ascii="仿宋_GB2312" w:hAnsi="Tahoma" w:eastAsia="仿宋_GB2312" w:cs="仿宋_GB2312"/>
          <w:b/>
          <w:bCs/>
          <w:color w:val="000000"/>
          <w:kern w:val="0"/>
          <w:sz w:val="32"/>
          <w:szCs w:val="32"/>
          <w:lang w:eastAsia="zh-Hans"/>
        </w:rPr>
        <w:t>：</w:t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王思逸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选手的团队（我的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乡村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干部之路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)</w:t>
      </w:r>
    </w:p>
    <w:p>
      <w:pPr>
        <w:keepNext w:val="0"/>
        <w:keepLines w:val="0"/>
        <w:widowControl/>
        <w:suppressLineNumbers w:val="0"/>
        <w:ind w:left="42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71A1D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说明：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奖金600元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颁发荣誉证书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561" w:lineRule="atLeast"/>
        <w:ind w:firstLine="640"/>
        <w:jc w:val="left"/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、优秀指导教师奖：</w:t>
      </w:r>
    </w:p>
    <w:p>
      <w:pPr>
        <w:widowControl/>
        <w:spacing w:line="561" w:lineRule="atLeast"/>
        <w:ind w:firstLine="640"/>
        <w:jc w:val="left"/>
        <w:rPr>
          <w:rFonts w:hint="default" w:asci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default" w:asci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</w:rPr>
        <w:t xml:space="preserve">刘峰  王子嵩  李静  尚志杰  田昌  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杨颂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</w:rPr>
        <w:t>周颖  张梦瑶</w:t>
      </w:r>
    </w:p>
    <w:p>
      <w:pPr>
        <w:widowControl/>
        <w:spacing w:line="561" w:lineRule="atLeas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说明</w:t>
      </w:r>
      <w:r>
        <w:rPr>
          <w:rFonts w:ascii="仿宋_GB2312" w:hAnsi="Tahoma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  <w:lang w:eastAsia="zh-CN"/>
        </w:rPr>
        <w:t>每个项目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奖金600元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颁发荣誉证书。</w:t>
      </w:r>
    </w:p>
    <w:p>
      <w:pPr>
        <w:widowControl/>
        <w:spacing w:line="561" w:lineRule="atLeast"/>
        <w:jc w:val="left"/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最佳组织奖：</w:t>
      </w:r>
    </w:p>
    <w:p>
      <w:pPr>
        <w:widowControl/>
        <w:spacing w:line="561" w:lineRule="atLeast"/>
        <w:ind w:firstLine="645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建筑工程学院</w:t>
      </w:r>
    </w:p>
    <w:p>
      <w:pPr>
        <w:widowControl/>
        <w:spacing w:line="561" w:lineRule="atLeast"/>
        <w:ind w:firstLine="645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文史学院（文化与旅游学院）</w:t>
      </w:r>
    </w:p>
    <w:p>
      <w:pPr>
        <w:widowControl/>
        <w:spacing w:line="561" w:lineRule="atLeast"/>
        <w:ind w:firstLine="645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</w:rPr>
        <w:t>计算机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工程学院</w:t>
      </w:r>
    </w:p>
    <w:p>
      <w:pPr>
        <w:widowControl/>
        <w:spacing w:line="561" w:lineRule="atLeast"/>
        <w:ind w:firstLine="645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机械与自动化学院</w:t>
      </w:r>
    </w:p>
    <w:p>
      <w:pPr>
        <w:pStyle w:val="6"/>
        <w:keepNext w:val="0"/>
        <w:keepLines w:val="0"/>
        <w:widowControl/>
        <w:suppressLineNumbers w:val="0"/>
        <w:tabs>
          <w:tab w:val="left" w:pos="269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数学与信息科学学院</w:t>
      </w:r>
    </w:p>
    <w:p>
      <w:pPr>
        <w:widowControl/>
        <w:spacing w:line="561" w:lineRule="atLeas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说明</w:t>
      </w:r>
      <w:r>
        <w:rPr>
          <w:rFonts w:ascii="仿宋_GB2312" w:hAnsi="Tahoma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Tahoma" w:eastAsia="仿宋_GB2312" w:cs="仿宋_GB2312"/>
          <w:color w:val="000000"/>
          <w:kern w:val="0"/>
          <w:sz w:val="28"/>
          <w:szCs w:val="28"/>
        </w:rPr>
        <w:t>奖金800元；颁发荣誉证书。</w:t>
      </w:r>
    </w:p>
    <w:p>
      <w:pPr>
        <w:widowControl/>
        <w:spacing w:line="561" w:lineRule="atLeast"/>
        <w:jc w:val="left"/>
        <w:rPr>
          <w:rFonts w:ascii="宋体" w:cs="Times New Roman"/>
          <w:b/>
          <w:bCs/>
          <w:color w:val="000000"/>
          <w:kern w:val="0"/>
          <w:sz w:val="33"/>
          <w:szCs w:val="33"/>
        </w:rPr>
      </w:pPr>
    </w:p>
    <w:p>
      <w:pPr>
        <w:jc w:val="both"/>
        <w:rPr>
          <w:sz w:val="36"/>
          <w:szCs w:val="36"/>
        </w:rPr>
      </w:pPr>
    </w:p>
    <w:sectPr>
      <w:pgSz w:w="11906" w:h="16838"/>
      <w:pgMar w:top="1327" w:right="1423" w:bottom="1327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pingfang sc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5029"/>
    <w:multiLevelType w:val="singleLevel"/>
    <w:tmpl w:val="6284502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WQyNDQ5NzgwOWI4OGI4ZjM2MmVkNTA0MTVlZmUifQ=="/>
  </w:docVars>
  <w:rsids>
    <w:rsidRoot w:val="76B73515"/>
    <w:rsid w:val="04E40DBB"/>
    <w:rsid w:val="329FF02A"/>
    <w:rsid w:val="3FEF206B"/>
    <w:rsid w:val="3FEF3719"/>
    <w:rsid w:val="45AD3231"/>
    <w:rsid w:val="5CBF7380"/>
    <w:rsid w:val="64793C7D"/>
    <w:rsid w:val="67150A96"/>
    <w:rsid w:val="72A379F6"/>
    <w:rsid w:val="76B73515"/>
    <w:rsid w:val="7A5B1492"/>
    <w:rsid w:val="7B355644"/>
    <w:rsid w:val="BF7BC719"/>
    <w:rsid w:val="EDD5E3B4"/>
    <w:rsid w:val="EDEF3FA5"/>
    <w:rsid w:val="FB6DE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color w:val="121416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1143</Words>
  <Characters>1164</Characters>
  <Lines>0</Lines>
  <Paragraphs>0</Paragraphs>
  <TotalTime>15</TotalTime>
  <ScaleCrop>false</ScaleCrop>
  <LinksUpToDate>false</LinksUpToDate>
  <CharactersWithSpaces>1251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2020-12-09T19:12:00Z</dcterms:created>
  <dc:creator>黄强</dc:creator>
  <cp:lastModifiedBy>李静</cp:lastModifiedBy>
  <cp:lastPrinted>2022-06-20T08:54:00Z</cp:lastPrinted>
  <dcterms:modified xsi:type="dcterms:W3CDTF">2022-06-23T01:16:25Z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8035FBA0FE29413B8C526617F93DF50D</vt:lpwstr>
  </property>
</Properties>
</file>